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7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</w:t>
      </w:r>
      <w:r>
        <w:rPr>
          <w:rFonts w:cs="Times New Roman" w:ascii="Times New Roman" w:hAnsi="Times New Roman"/>
          <w:sz w:val="34"/>
          <w:szCs w:val="34"/>
        </w:rPr>
        <w:t>262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67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111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547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3,0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LibreOffice/7.0.6.2$Linux_X86_64 LibreOffice_project/00$Build-2</Application>
  <AppVersion>15.0000</AppVersion>
  <Pages>1</Pages>
  <Words>150</Words>
  <Characters>1027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2022-06-28T14:05:21Z</cp:lastPrinted>
  <dcterms:modified xsi:type="dcterms:W3CDTF">2022-06-28T14:05:45Z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